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Loberti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 gala last year,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big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dog,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cuddles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sophomore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How do you know what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know. It really makes sense with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Aww, she chose you.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while. It took us a few days to match. To match was hard.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Right, right.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 don't know if this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oh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my life.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 I can totally relate to all of that. Yes, 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Yes. So it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campus.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blindness,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hold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But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with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those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cool.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Now,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00:13:06]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I'm going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upheaval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bellissima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okay.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quarantine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upheaval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UNICEF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tell us about that. I love to-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UNICEF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not encounter one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got to be respectful and of all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that's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 grandma.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hegemonic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I really like 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Well,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think this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Blind isn't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visionness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L'Occitane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L'Occitane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not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shampoo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having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really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biodegradable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involvement with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enamored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if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showcasing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told you about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rhetoric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limelight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In pearls.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my advice.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00:27:18]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I would love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wink.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Wink,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open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this is over.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always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it does. That's good.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Central_Bark_Aria_Mia_Loberti_Revision (Completed  10/20/23)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20,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