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Illinois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Illinois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Leber's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Congenital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Amaurosis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rare, 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 is, yeah-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Dogs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Ginsburg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Ginsburg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Ginsburg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Ginsburg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Ginsburg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up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something else.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00:07:56]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like, "No they can-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 they have to.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we have to step back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brainstorming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tournament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wrestling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volleyball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tournaments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both.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just never know.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Central_Bark_23_Meet_Sara_Edwards_MIX (Completed  02/14/23)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