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menagerie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Chihuahua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Really good.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You got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00:02:20]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exactly.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%.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huge.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COVID.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gosh,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we're going to do more. We're going to do more,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 going to be more.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cool.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%.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00:09:12]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00:09:13]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doing in Chicago. 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love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applause.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Do tell. Do tell.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exciting.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30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lot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00:17:20]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exciting.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a fun-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lot of...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Absolutely gold.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then coming. I love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Yes, exactly. Exactly.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Theresa.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send a thank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Central_Bark_2025_Annual_Update_with_Christine_B... (Completed  02/07/25)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07,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